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</w:pPr>
      <w:r>
        <w:t>МИНИСТЕРСТВО ПРИРОДНЫХ РЕСУРСОВ И ЭКОЛОГИИ</w:t>
      </w:r>
    </w:p>
    <w:p w:rsidR="002C26A5" w:rsidRDefault="002C26A5">
      <w:pPr>
        <w:pStyle w:val="ConsPlusTitle"/>
        <w:jc w:val="center"/>
      </w:pPr>
      <w:r>
        <w:t>РОССИЙСКОЙ ФЕДЕРАЦИИ</w:t>
      </w:r>
    </w:p>
    <w:p w:rsidR="002C26A5" w:rsidRDefault="002C26A5">
      <w:pPr>
        <w:pStyle w:val="ConsPlusTitle"/>
        <w:jc w:val="center"/>
      </w:pPr>
    </w:p>
    <w:p w:rsidR="002C26A5" w:rsidRDefault="002C26A5">
      <w:pPr>
        <w:pStyle w:val="ConsPlusTitle"/>
        <w:jc w:val="center"/>
      </w:pPr>
      <w:r>
        <w:t>ПРИКАЗ</w:t>
      </w:r>
    </w:p>
    <w:p w:rsidR="002C26A5" w:rsidRDefault="002C26A5">
      <w:pPr>
        <w:pStyle w:val="ConsPlusTitle"/>
        <w:jc w:val="center"/>
      </w:pPr>
      <w:r>
        <w:t>от 30 марта 2021 г. N 214</w:t>
      </w:r>
    </w:p>
    <w:p w:rsidR="002C26A5" w:rsidRDefault="002C26A5">
      <w:pPr>
        <w:pStyle w:val="ConsPlusTitle"/>
        <w:jc w:val="center"/>
      </w:pPr>
    </w:p>
    <w:p w:rsidR="002C26A5" w:rsidRDefault="002C26A5">
      <w:pPr>
        <w:pStyle w:val="ConsPlusTitle"/>
        <w:jc w:val="center"/>
      </w:pPr>
      <w:r>
        <w:t>ОБ УТВЕРЖДЕНИИ ПОРЯДКА</w:t>
      </w:r>
    </w:p>
    <w:p w:rsidR="002C26A5" w:rsidRDefault="002C26A5">
      <w:pPr>
        <w:pStyle w:val="ConsPlusTitle"/>
        <w:jc w:val="center"/>
      </w:pPr>
      <w:r>
        <w:t>ОПРЕДЕЛЕНИЯ КОНКРЕТНЫХ РАЗМЕРОВ СТАВОК РЕГУЛЯРНЫХ ПЛАТЕЖЕЙ</w:t>
      </w:r>
    </w:p>
    <w:p w:rsidR="002C26A5" w:rsidRDefault="002C26A5">
      <w:pPr>
        <w:pStyle w:val="ConsPlusTitle"/>
        <w:jc w:val="center"/>
      </w:pPr>
      <w:r>
        <w:t>ЗА ПОЛЬЗОВАНИЕ НЕДРАМИ</w:t>
      </w:r>
    </w:p>
    <w:p w:rsidR="002C26A5" w:rsidRDefault="002C26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26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A5" w:rsidRDefault="002C26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A5" w:rsidRDefault="002C26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6A5" w:rsidRDefault="002C26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6A5" w:rsidRDefault="002C26A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Минприроды России от 10.08.2022 N 525)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A5" w:rsidRDefault="002C26A5">
            <w:pPr>
              <w:pStyle w:val="ConsPlusNormal"/>
            </w:pP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ind w:firstLine="540"/>
        <w:jc w:val="both"/>
      </w:pPr>
      <w:r>
        <w:t>В соответствии с абзацем первым пункта 2 статьи 43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2013, N 30, ст. 4060), подпунктом 5.2.21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1. Утвердить прилагаемый Порядок определения конкретных размеров ставок регулярных платежей за пользование недрами.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2. Признать утратившим силу приказ Минприроды России от 7 марта 2014 г. N 134 "Об утверждении Порядка определения конкретных размеров ставок регулярных платежей за пользование недрами" (зарегистрирован Министерством юстиции Российской Федерации 8 октября 2014 г., регистрационный N 34266).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по 28 февраля 2028 г.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right"/>
      </w:pPr>
      <w:r>
        <w:t>Министр</w:t>
      </w:r>
    </w:p>
    <w:p w:rsidR="002C26A5" w:rsidRDefault="002C26A5">
      <w:pPr>
        <w:pStyle w:val="ConsPlusNormal"/>
        <w:jc w:val="right"/>
      </w:pPr>
      <w:r>
        <w:t>А.А.КОЗЛОВ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right"/>
        <w:outlineLvl w:val="0"/>
      </w:pPr>
      <w:r>
        <w:t>Утвержден</w:t>
      </w:r>
    </w:p>
    <w:p w:rsidR="002C26A5" w:rsidRDefault="002C26A5">
      <w:pPr>
        <w:pStyle w:val="ConsPlusNormal"/>
        <w:jc w:val="right"/>
      </w:pPr>
      <w:r>
        <w:t>приказом Минприроды России</w:t>
      </w:r>
    </w:p>
    <w:p w:rsidR="002C26A5" w:rsidRDefault="002C26A5">
      <w:pPr>
        <w:pStyle w:val="ConsPlusNormal"/>
        <w:jc w:val="right"/>
      </w:pPr>
      <w:r>
        <w:t>от 30.03.2021 N 214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</w:pPr>
      <w:bookmarkStart w:id="0" w:name="P32"/>
      <w:bookmarkEnd w:id="0"/>
      <w:r>
        <w:t>ПОРЯДОК</w:t>
      </w:r>
    </w:p>
    <w:p w:rsidR="002C26A5" w:rsidRDefault="002C26A5">
      <w:pPr>
        <w:pStyle w:val="ConsPlusTitle"/>
        <w:jc w:val="center"/>
      </w:pPr>
      <w:r>
        <w:t>ОПРЕДЕЛЕНИЯ КОНКРЕТНЫХ РАЗМЕРОВ СТАВОК РЕГУЛЯРНЫХ ПЛАТЕЖЕЙ</w:t>
      </w:r>
    </w:p>
    <w:p w:rsidR="002C26A5" w:rsidRDefault="002C26A5">
      <w:pPr>
        <w:pStyle w:val="ConsPlusTitle"/>
        <w:jc w:val="center"/>
      </w:pPr>
      <w:r>
        <w:t>ЗА ПОЛЬЗОВАНИЕ НЕДРАМИ</w:t>
      </w:r>
    </w:p>
    <w:p w:rsidR="002C26A5" w:rsidRDefault="002C26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26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A5" w:rsidRDefault="002C26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A5" w:rsidRDefault="002C26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6A5" w:rsidRDefault="002C26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6A5" w:rsidRDefault="002C26A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Минприроды России от 10.08.2022 N 525)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6A5" w:rsidRDefault="002C26A5">
            <w:pPr>
              <w:pStyle w:val="ConsPlusNormal"/>
            </w:pP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ind w:firstLine="540"/>
        <w:jc w:val="both"/>
      </w:pPr>
      <w:r>
        <w:t xml:space="preserve">1. Настоящий Порядок разработан в соответствии с абзацем первым пункта 2 статьи 43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</w:t>
      </w:r>
      <w:r>
        <w:lastRenderedPageBreak/>
        <w:t>Собрание законодательства Российской Федерации, 2013, N 30, ст. 4060) (далее - Закон Российской Федерации "О недрах"), подпунктом 5.2.21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и устанавливает принципы определения конкретного размера ставки регулярного платежа за пользование недрами по каждому участку недр, предоставленному в пользование, в том числе расположенному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в Черном и Азовском морях, в пределах которых Российская Федерация осуществляет суверенитет,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(далее - участки недр, расположенные в Черном и Азовском морях), в пределах российского сектора Каспийского моря, и Мирового океана, в пределах минимальных и максимальных ставок, установленных законодательством Российской Федерации о недрах &lt;1&gt;, и предназначен для использования Федеральным агентством по недропользованию, его территориальными органами при определении конкретных размеров ставок регулярных платежей за пользование участками недр, за исключением участков недр местного значения, в отношении которых конкретные размеры ставок регулярных платежей определяются органами государственной власти субъектов Российской Федерации.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&lt;1&gt; Абзац шестой пункта 2 статьи 43 Закона Российской Федерации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2013, N 30, ст. 4060).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ind w:firstLine="540"/>
        <w:jc w:val="both"/>
      </w:pPr>
      <w:r>
        <w:t>2. Размеры ставок регулярных платежей за пользование недрами определяются в зависимости от: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1) экономико-географических условий;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2) размера участка недр;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3) вида полезного ископаемого;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4) продолжительности работ;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5) степени геологической изученности территории;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6) степени риска.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Регулярный платеж за пользование недрами взимается за площадь участка недр, предоставленного пользователю недр, за вычетом площади возвращенной части участка недр.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Расчет конкретных размеров ставок регулярного платежа за пользование недрами производится по формуле:</w:t>
      </w:r>
    </w:p>
    <w:p w:rsidR="002C26A5" w:rsidRDefault="002C26A5">
      <w:pPr>
        <w:pStyle w:val="ConsPlusNormal"/>
        <w:jc w:val="both"/>
      </w:pPr>
    </w:p>
    <w:p w:rsidR="002C26A5" w:rsidRPr="002C26A5" w:rsidRDefault="002C26A5">
      <w:pPr>
        <w:pStyle w:val="ConsPlusNormal"/>
        <w:ind w:firstLine="540"/>
        <w:jc w:val="both"/>
        <w:rPr>
          <w:lang w:val="en-US"/>
        </w:rPr>
      </w:pPr>
      <w:bookmarkStart w:id="1" w:name="P52"/>
      <w:bookmarkEnd w:id="1"/>
      <w:r w:rsidRPr="002C26A5">
        <w:rPr>
          <w:lang w:val="en-US"/>
        </w:rPr>
        <w:t xml:space="preserve">R = </w:t>
      </w:r>
      <w:proofErr w:type="spellStart"/>
      <w:r w:rsidRPr="002C26A5">
        <w:rPr>
          <w:lang w:val="en-US"/>
        </w:rPr>
        <w:t>R</w:t>
      </w:r>
      <w:r w:rsidRPr="002C26A5">
        <w:rPr>
          <w:vertAlign w:val="subscript"/>
          <w:lang w:val="en-US"/>
        </w:rPr>
        <w:t>min</w:t>
      </w:r>
      <w:proofErr w:type="spellEnd"/>
      <w:r w:rsidRPr="002C26A5">
        <w:rPr>
          <w:lang w:val="en-US"/>
        </w:rPr>
        <w:t xml:space="preserve"> + K · (</w:t>
      </w:r>
      <w:proofErr w:type="spellStart"/>
      <w:r w:rsidRPr="002C26A5">
        <w:rPr>
          <w:lang w:val="en-US"/>
        </w:rPr>
        <w:t>R</w:t>
      </w:r>
      <w:r w:rsidRPr="002C26A5">
        <w:rPr>
          <w:vertAlign w:val="subscript"/>
          <w:lang w:val="en-US"/>
        </w:rPr>
        <w:t>max</w:t>
      </w:r>
      <w:proofErr w:type="spellEnd"/>
      <w:r w:rsidRPr="002C26A5">
        <w:rPr>
          <w:lang w:val="en-US"/>
        </w:rPr>
        <w:t xml:space="preserve"> - </w:t>
      </w:r>
      <w:proofErr w:type="spellStart"/>
      <w:r w:rsidRPr="002C26A5">
        <w:rPr>
          <w:lang w:val="en-US"/>
        </w:rPr>
        <w:t>R</w:t>
      </w:r>
      <w:r w:rsidRPr="002C26A5">
        <w:rPr>
          <w:vertAlign w:val="subscript"/>
          <w:lang w:val="en-US"/>
        </w:rPr>
        <w:t>min</w:t>
      </w:r>
      <w:proofErr w:type="spellEnd"/>
      <w:r w:rsidRPr="002C26A5">
        <w:rPr>
          <w:lang w:val="en-US"/>
        </w:rPr>
        <w:t>), (1)</w:t>
      </w:r>
    </w:p>
    <w:p w:rsidR="002C26A5" w:rsidRPr="002C26A5" w:rsidRDefault="002C26A5">
      <w:pPr>
        <w:pStyle w:val="ConsPlusNormal"/>
        <w:jc w:val="both"/>
        <w:rPr>
          <w:lang w:val="en-US"/>
        </w:rPr>
      </w:pPr>
    </w:p>
    <w:p w:rsidR="002C26A5" w:rsidRDefault="002C26A5">
      <w:pPr>
        <w:pStyle w:val="ConsPlusNormal"/>
        <w:ind w:firstLine="540"/>
        <w:jc w:val="both"/>
      </w:pPr>
      <w:r>
        <w:t>где: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R - конкретный размер ставки регулярного платежа за пользование недрами (руб.);</w:t>
      </w:r>
    </w:p>
    <w:p w:rsidR="002C26A5" w:rsidRDefault="002C26A5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max</w:t>
      </w:r>
      <w:proofErr w:type="spellEnd"/>
      <w:r>
        <w:t xml:space="preserve"> - максимальный установленный размер ставки регулярного платежа (руб.);</w:t>
      </w:r>
    </w:p>
    <w:p w:rsidR="002C26A5" w:rsidRDefault="002C26A5">
      <w:pPr>
        <w:pStyle w:val="ConsPlusNormal"/>
        <w:spacing w:before="220"/>
        <w:ind w:firstLine="540"/>
        <w:jc w:val="both"/>
      </w:pPr>
      <w:proofErr w:type="spellStart"/>
      <w:r>
        <w:lastRenderedPageBreak/>
        <w:t>R</w:t>
      </w:r>
      <w:r>
        <w:rPr>
          <w:vertAlign w:val="subscript"/>
        </w:rPr>
        <w:t>min</w:t>
      </w:r>
      <w:proofErr w:type="spellEnd"/>
      <w:r>
        <w:t xml:space="preserve"> - минимальный установленный размер ставки регулярного платежа (руб.);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K - поправочный коэффициент (может принимать значения от 0 до 1).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Максимальный (</w:t>
      </w:r>
      <w:proofErr w:type="spellStart"/>
      <w:r>
        <w:t>R</w:t>
      </w:r>
      <w:r>
        <w:rPr>
          <w:vertAlign w:val="subscript"/>
        </w:rPr>
        <w:t>max</w:t>
      </w:r>
      <w:proofErr w:type="spellEnd"/>
      <w:r>
        <w:t>) и минимальный (</w:t>
      </w:r>
      <w:proofErr w:type="spellStart"/>
      <w:r>
        <w:t>R</w:t>
      </w:r>
      <w:r>
        <w:rPr>
          <w:vertAlign w:val="subscript"/>
        </w:rPr>
        <w:t>min</w:t>
      </w:r>
      <w:proofErr w:type="spellEnd"/>
      <w:r>
        <w:t>) размер ставки регулярного платежа в формуле (1) определяется в зависимости от видов работ и полезных ископаемых в соответствии со статьей 43 Закона Российской Федерации "О недрах".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Поправочный коэффициент K в формуле (1), если иное не установлено настоящим Порядком, определяется как сумма поправочных коэффициентов, учитывающих условия проведения геологоразведочных работ, строительства и эксплуатации подземных сооружений, не связанных с добычей полезных ископаемых, приведенных в Приложении N 1 к настоящему Порядку.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Для определения конкретных размеров ставок регулярных платежей за пользование недрами в целях поиска и оценки месторождений полезных ископаемых, начиная с 5-го года, а при проведении работ по геологическому изучению участков недр, расположенных полностью или частично в границах Республики Саха (Якутия), отдельных территорий Республики Карелия, отнесенных к сухопутным территориям Арктической зоны в соответствии с Федеральным законом от 13 июля 2020 года N 193-ФЗ "О государственной поддержке предпринимательской деятельности в Арктической зоне Российской Федерации", Республики Коми, Камчатского края, Красноярского края, Хабаровского края, Архангельской области, Иркутской области, Магаданской области, Мурманской области, Сахалинской области, Ненецкого автономного округа, Чукотского автономного округа, Ямало-Ненецкого автономного округа, - с 7-го года пользования недрами, исчисленного с квартала, следующего за кварталом, в котором произведена государственная регистрация лицензии на пользование недрами, поправочный коэффициент K принимается равным 1.</w:t>
      </w:r>
    </w:p>
    <w:p w:rsidR="002C26A5" w:rsidRDefault="002C26A5">
      <w:pPr>
        <w:pStyle w:val="ConsPlusNormal"/>
        <w:jc w:val="both"/>
      </w:pPr>
      <w:r>
        <w:t>(в ред. Приказа Минприроды России от 10.08.2022 N 525)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Для определения конкретных размеров ставок регулярных платежей за пользование недрами в целях разведки полезных ископаемых, начиная с 4-го года проведения разведочных работ, исчисленного с квартала, следующего за кварталом, в котором сформирована реестровая запись &lt;2&gt; в государственном реестре работ по геологическому изучению недр о разведочных работах, поправочный коэффициент K принимается равным 1.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&lt;2&gt; Порядок государственного учета и ведения государственного реестра работ по геологическому изучению недр, государственного реестра участков недр, предоставленных в пользование, и лицензий на пользование участками недр, утвержденный приказом Минприроды России от 29 октября 2020 г. N 865 (зарегистрирован Министерством юстиции Российской Федерации 3 февраля 2021 г., регистрационный N 62351).</w:t>
      </w:r>
    </w:p>
    <w:p w:rsidR="002C26A5" w:rsidRDefault="002C26A5">
      <w:pPr>
        <w:pStyle w:val="ConsPlusNormal"/>
        <w:ind w:firstLine="540"/>
        <w:jc w:val="both"/>
      </w:pPr>
    </w:p>
    <w:p w:rsidR="002C26A5" w:rsidRDefault="002C26A5">
      <w:pPr>
        <w:pStyle w:val="ConsPlusNormal"/>
        <w:ind w:firstLine="540"/>
        <w:jc w:val="both"/>
      </w:pPr>
      <w:r>
        <w:t>Конкретный размер ставки регулярного платежа округляется до целых рублей по правилам математического округления чисел.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3. Конкретные размеры ставок регулярных платежей за пользование недрами по участкам недр, расположенным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в Черном и Азовском морях, в пределах российского сектора Каспийского моря, и Мирового океана, определяются по формуле (1) с учетом особенностей, установленных настоящим пунктом.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 xml:space="preserve">Поправочный коэффициент K в формуле (1) в целях определения конкретных размеров ставок регулярных платежей за пользование недрами по участкам недр, расположенным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в Черном и Азовском морях, в пределах российского сектора Каспийского </w:t>
      </w:r>
      <w:r>
        <w:lastRenderedPageBreak/>
        <w:t>моря, и Мирового океана, определяется как сумма поправочных коэффициентов, учитывающих условия проведения геологоразведочных работ, строительства и эксплуатации подземных сооружений, не связанных с добычей полезных ископаемых, приведенных в Приложении N 2 к настоящему Порядку.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При определении в соответствии с Приложением N 2 к настоящему Порядку плотности прогнозных ресурсов углеводородного сырья и плотности запасов (C</w:t>
      </w:r>
      <w:r>
        <w:rPr>
          <w:vertAlign w:val="subscript"/>
        </w:rPr>
        <w:t>1</w:t>
      </w:r>
      <w:r>
        <w:t xml:space="preserve"> + C</w:t>
      </w:r>
      <w:r>
        <w:rPr>
          <w:vertAlign w:val="subscript"/>
        </w:rPr>
        <w:t>2</w:t>
      </w:r>
      <w:r>
        <w:t>) углеводородного сырья, перевод полезных ископаемых в условные единицы осуществляется с использованием следующих коэффициентов пересчета: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1) для нефти и газового конденсата: 1 тонна условного топлива = 1 тонна нефти (газового конденсата) * 1,43;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2) для газа горючего природного: 1 тонна условного топлива = 1 000 куб. м газа * 1,15;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3) для газа горючего попутного: 1 тонна условного топлива = 1 000 куб. м газа * 1,3.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Для определения конкретных размеров ставок регулярных платежей за пользование недрами в целях поиска и оценки месторождений полезных ископаемых, начиная с 10-го года пользования недрами, исчисленного с первого числа квартала, следующего за кварталом, в котором произведена государственная регистрация лицензии на пользование недрами, поправочный коэффициент K принимается равным 1.</w:t>
      </w:r>
    </w:p>
    <w:p w:rsidR="002C26A5" w:rsidRDefault="002C26A5">
      <w:pPr>
        <w:pStyle w:val="ConsPlusNormal"/>
        <w:spacing w:before="220"/>
        <w:ind w:firstLine="540"/>
        <w:jc w:val="both"/>
      </w:pPr>
      <w:r>
        <w:t>Для определения конкретных размеров ставок регулярных платежей за пользование недрами в целях разведки полезных ископаемых, начиная с 8-го года проведения разведочных работ, исчисленного с первого числа квартала, следующего за кварталом, в котором сформирована реестровая запись в государственном реестре работ по геологическому изучению недр о разведочных работах, поправочный коэффициент K принимается равным 1.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right"/>
        <w:outlineLvl w:val="1"/>
      </w:pPr>
      <w:r>
        <w:t>Приложение N 1</w:t>
      </w:r>
    </w:p>
    <w:p w:rsidR="002C26A5" w:rsidRDefault="002C26A5">
      <w:pPr>
        <w:pStyle w:val="ConsPlusNormal"/>
        <w:jc w:val="right"/>
      </w:pPr>
      <w:r>
        <w:t>к Порядку определения конкретных</w:t>
      </w:r>
    </w:p>
    <w:p w:rsidR="002C26A5" w:rsidRDefault="002C26A5">
      <w:pPr>
        <w:pStyle w:val="ConsPlusNormal"/>
        <w:jc w:val="right"/>
      </w:pPr>
      <w:r>
        <w:t>размеров ставок регулярных</w:t>
      </w:r>
    </w:p>
    <w:p w:rsidR="002C26A5" w:rsidRDefault="002C26A5">
      <w:pPr>
        <w:pStyle w:val="ConsPlusNormal"/>
        <w:jc w:val="right"/>
      </w:pPr>
      <w:r>
        <w:t>платежей за пользование недрами,</w:t>
      </w:r>
    </w:p>
    <w:p w:rsidR="002C26A5" w:rsidRDefault="002C26A5">
      <w:pPr>
        <w:pStyle w:val="ConsPlusNormal"/>
        <w:jc w:val="right"/>
      </w:pPr>
      <w:r>
        <w:t>утвержденному приказом</w:t>
      </w:r>
    </w:p>
    <w:p w:rsidR="002C26A5" w:rsidRDefault="002C26A5">
      <w:pPr>
        <w:pStyle w:val="ConsPlusNormal"/>
        <w:jc w:val="right"/>
      </w:pPr>
      <w:r>
        <w:t>Минприроды России</w:t>
      </w:r>
    </w:p>
    <w:p w:rsidR="002C26A5" w:rsidRDefault="002C26A5">
      <w:pPr>
        <w:pStyle w:val="ConsPlusNormal"/>
        <w:jc w:val="right"/>
      </w:pPr>
      <w:r>
        <w:t>от 30.03.2021 N 214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</w:pPr>
      <w:bookmarkStart w:id="2" w:name="P88"/>
      <w:bookmarkEnd w:id="2"/>
      <w:r>
        <w:t>ПОПРАВОЧНЫЕ КОЭФФИЦИЕНТЫ,</w:t>
      </w:r>
    </w:p>
    <w:p w:rsidR="002C26A5" w:rsidRDefault="002C26A5">
      <w:pPr>
        <w:pStyle w:val="ConsPlusTitle"/>
        <w:jc w:val="center"/>
      </w:pPr>
      <w:r>
        <w:t>УЧИТЫВАЮЩИЕ УСЛОВИЯ ПРОВЕДЕНИЯ ГЕОЛОГОРАЗВЕДОЧНЫХ РАБОТ,</w:t>
      </w:r>
    </w:p>
    <w:p w:rsidR="002C26A5" w:rsidRDefault="002C26A5">
      <w:pPr>
        <w:pStyle w:val="ConsPlusTitle"/>
        <w:jc w:val="center"/>
      </w:pPr>
      <w:r>
        <w:t>СТРОИТЕЛЬСТВА И ЭКСПЛУАТАЦИИ ПОДЗЕМНЫХ СООРУЖЕНИЙ,</w:t>
      </w:r>
    </w:p>
    <w:p w:rsidR="002C26A5" w:rsidRDefault="002C26A5">
      <w:pPr>
        <w:pStyle w:val="ConsPlusTitle"/>
        <w:jc w:val="center"/>
      </w:pPr>
      <w:r>
        <w:t>НЕ СВЯЗАННЫХ С ДОБЫЧЕЙ ПОЛЕЗНЫХ ИСКОПАЕМЫХ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2"/>
      </w:pPr>
      <w:r>
        <w:t>Экономико-географические условия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2"/>
        <w:gridCol w:w="1923"/>
        <w:gridCol w:w="1923"/>
        <w:gridCol w:w="1924"/>
      </w:tblGrid>
      <w:tr w:rsidR="002C26A5">
        <w:tc>
          <w:tcPr>
            <w:tcW w:w="3302" w:type="dxa"/>
            <w:vMerge w:val="restart"/>
          </w:tcPr>
          <w:p w:rsidR="002C26A5" w:rsidRDefault="002C26A5">
            <w:pPr>
              <w:pStyle w:val="ConsPlusNormal"/>
              <w:jc w:val="center"/>
            </w:pPr>
            <w:r>
              <w:t>Факторы</w:t>
            </w:r>
          </w:p>
        </w:tc>
        <w:tc>
          <w:tcPr>
            <w:tcW w:w="5770" w:type="dxa"/>
            <w:gridSpan w:val="3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</w:t>
            </w:r>
          </w:p>
        </w:tc>
      </w:tr>
      <w:tr w:rsidR="002C26A5">
        <w:tc>
          <w:tcPr>
            <w:tcW w:w="3302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поиска и оценки месторождений полезных ископаемых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разведки полезных ископаемых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 xml:space="preserve">строительства и эксплуатации подземных сооружений, не </w:t>
            </w:r>
            <w:r>
              <w:lastRenderedPageBreak/>
              <w:t>связанных с добычей полезных ископаемых</w:t>
            </w:r>
          </w:p>
        </w:tc>
      </w:tr>
      <w:tr w:rsidR="002C26A5">
        <w:tc>
          <w:tcPr>
            <w:tcW w:w="9072" w:type="dxa"/>
            <w:gridSpan w:val="4"/>
          </w:tcPr>
          <w:p w:rsidR="002C26A5" w:rsidRDefault="002C26A5">
            <w:pPr>
              <w:pStyle w:val="ConsPlusNormal"/>
              <w:jc w:val="center"/>
              <w:outlineLvl w:val="3"/>
            </w:pPr>
            <w:r>
              <w:lastRenderedPageBreak/>
              <w:t>Расстояние от автомобильных дорог общего пользования регионального или межмуниципального значения (кратчайшее расстояние по прямой линии на карте)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Более 100 км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50 - 100 км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0,05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До 50 км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0,100</w:t>
            </w:r>
          </w:p>
        </w:tc>
      </w:tr>
      <w:tr w:rsidR="002C26A5">
        <w:tc>
          <w:tcPr>
            <w:tcW w:w="9072" w:type="dxa"/>
            <w:gridSpan w:val="4"/>
          </w:tcPr>
          <w:p w:rsidR="002C26A5" w:rsidRDefault="002C26A5">
            <w:pPr>
              <w:pStyle w:val="ConsPlusNormal"/>
              <w:jc w:val="center"/>
              <w:outlineLvl w:val="3"/>
            </w:pPr>
            <w:r>
              <w:t>Климатические условия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Крайне неблагоприятные (районы арктических пустынь)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Неблагоприятные (районы Крайнего Севера и приравненные к ним местности, районы высокогорья или безводные районы)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0,075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Благоприятные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0,150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0,150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0,150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2"/>
      </w:pPr>
      <w:r>
        <w:t>Продолжительность работ (для лицензий на пользование</w:t>
      </w:r>
    </w:p>
    <w:p w:rsidR="002C26A5" w:rsidRDefault="002C26A5">
      <w:pPr>
        <w:pStyle w:val="ConsPlusTitle"/>
        <w:jc w:val="center"/>
      </w:pPr>
      <w:r>
        <w:t>недрами, в отношении которых установлен предельный срок</w:t>
      </w:r>
    </w:p>
    <w:p w:rsidR="002C26A5" w:rsidRDefault="002C26A5">
      <w:pPr>
        <w:pStyle w:val="ConsPlusTitle"/>
        <w:jc w:val="center"/>
      </w:pPr>
      <w:r>
        <w:t>пользования недрами для целей геологического изучения 5 лет)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2"/>
        <w:gridCol w:w="1923"/>
        <w:gridCol w:w="1923"/>
        <w:gridCol w:w="1924"/>
      </w:tblGrid>
      <w:tr w:rsidR="002C26A5">
        <w:tc>
          <w:tcPr>
            <w:tcW w:w="3302" w:type="dxa"/>
            <w:vMerge w:val="restart"/>
          </w:tcPr>
          <w:p w:rsidR="002C26A5" w:rsidRDefault="002C26A5">
            <w:pPr>
              <w:pStyle w:val="ConsPlusNormal"/>
              <w:jc w:val="center"/>
            </w:pPr>
            <w:r>
              <w:t>Год пользования участком недр, исчисленный с квартала, следующего за кварталом, в котором сформирована реестровая запись в государственном реестре участков недр, предоставленных в пользование, и лицензий на пользование участками недр, или государственном реестре работ по геологическому изучению недр</w:t>
            </w:r>
          </w:p>
        </w:tc>
        <w:tc>
          <w:tcPr>
            <w:tcW w:w="5770" w:type="dxa"/>
            <w:gridSpan w:val="3"/>
          </w:tcPr>
          <w:p w:rsidR="002C26A5" w:rsidRDefault="002C26A5">
            <w:pPr>
              <w:pStyle w:val="ConsPlusNormal"/>
              <w:jc w:val="center"/>
            </w:pPr>
            <w:r>
              <w:t>Оценка влияния продолжительности работ</w:t>
            </w:r>
          </w:p>
        </w:tc>
      </w:tr>
      <w:tr w:rsidR="002C26A5">
        <w:tc>
          <w:tcPr>
            <w:tcW w:w="3302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поиски и оценка месторождений полезных ископаемых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разведка полезных ископаемых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строительство и эксплуатация подземных сооружений, не связанных с добычей полезных ископаемых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0,05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0,15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2"/>
      </w:pPr>
      <w:r>
        <w:t>Продолжительность работ (для лицензий на пользование</w:t>
      </w:r>
    </w:p>
    <w:p w:rsidR="002C26A5" w:rsidRDefault="002C26A5">
      <w:pPr>
        <w:pStyle w:val="ConsPlusTitle"/>
        <w:jc w:val="center"/>
      </w:pPr>
      <w:r>
        <w:t>недрами, в отношении которых установлен предельный срок</w:t>
      </w:r>
    </w:p>
    <w:p w:rsidR="002C26A5" w:rsidRDefault="002C26A5">
      <w:pPr>
        <w:pStyle w:val="ConsPlusTitle"/>
        <w:jc w:val="center"/>
      </w:pPr>
      <w:r>
        <w:t>пользования недрами для целей геологического изучения 7 лет)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2"/>
        <w:gridCol w:w="1923"/>
        <w:gridCol w:w="1923"/>
        <w:gridCol w:w="1924"/>
      </w:tblGrid>
      <w:tr w:rsidR="002C26A5">
        <w:tc>
          <w:tcPr>
            <w:tcW w:w="3302" w:type="dxa"/>
            <w:vMerge w:val="restart"/>
          </w:tcPr>
          <w:p w:rsidR="002C26A5" w:rsidRDefault="002C26A5">
            <w:pPr>
              <w:pStyle w:val="ConsPlusNormal"/>
              <w:jc w:val="center"/>
            </w:pPr>
            <w:r>
              <w:lastRenderedPageBreak/>
              <w:t>Год пользования участком недр, исчисленный с квартала, следующего за кварталом, в котором сформирована реестровая запись в государственном реестре участков недр, предоставленных в пользование, и лицензий на пользование участками недр, или государственном реестре работ по геологическому изучению недр</w:t>
            </w:r>
          </w:p>
        </w:tc>
        <w:tc>
          <w:tcPr>
            <w:tcW w:w="5770" w:type="dxa"/>
            <w:gridSpan w:val="3"/>
          </w:tcPr>
          <w:p w:rsidR="002C26A5" w:rsidRDefault="002C26A5">
            <w:pPr>
              <w:pStyle w:val="ConsPlusNormal"/>
              <w:jc w:val="center"/>
            </w:pPr>
            <w:r>
              <w:t>Оценка влияния продолжительности работ</w:t>
            </w:r>
          </w:p>
        </w:tc>
      </w:tr>
      <w:tr w:rsidR="002C26A5">
        <w:tc>
          <w:tcPr>
            <w:tcW w:w="3302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поиски и оценка месторождений полезных ископаемых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разведка полезных ископаемых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строительство и эксплуатация подземных сооружений, не связанных с добычей полезных ископаемых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0,03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0,06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0,09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5-й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0,12</w:t>
            </w:r>
          </w:p>
        </w:tc>
      </w:tr>
      <w:tr w:rsidR="002C26A5">
        <w:tc>
          <w:tcPr>
            <w:tcW w:w="3302" w:type="dxa"/>
          </w:tcPr>
          <w:p w:rsidR="002C26A5" w:rsidRDefault="002C26A5">
            <w:pPr>
              <w:pStyle w:val="ConsPlusNormal"/>
              <w:jc w:val="center"/>
            </w:pPr>
            <w:r>
              <w:t>6-й год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923" w:type="dxa"/>
          </w:tcPr>
          <w:p w:rsidR="002C26A5" w:rsidRDefault="002C26A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2C26A5" w:rsidRDefault="002C26A5">
            <w:pPr>
              <w:pStyle w:val="ConsPlusNormal"/>
              <w:jc w:val="center"/>
            </w:pPr>
            <w:r>
              <w:t>0,15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2"/>
      </w:pPr>
      <w:r>
        <w:t>Степень геологической изученности и степень риска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5216"/>
        <w:gridCol w:w="1928"/>
      </w:tblGrid>
      <w:tr w:rsidR="002C26A5">
        <w:tc>
          <w:tcPr>
            <w:tcW w:w="1920" w:type="dxa"/>
          </w:tcPr>
          <w:p w:rsidR="002C26A5" w:rsidRDefault="002C26A5">
            <w:pPr>
              <w:pStyle w:val="ConsPlusNormal"/>
              <w:jc w:val="center"/>
            </w:pPr>
            <w:r>
              <w:t>Стадии работ</w:t>
            </w:r>
          </w:p>
        </w:tc>
        <w:tc>
          <w:tcPr>
            <w:tcW w:w="5216" w:type="dxa"/>
          </w:tcPr>
          <w:p w:rsidR="002C26A5" w:rsidRDefault="002C26A5">
            <w:pPr>
              <w:pStyle w:val="ConsPlusNormal"/>
              <w:jc w:val="center"/>
            </w:pPr>
            <w:r>
              <w:t>Факторы</w:t>
            </w:r>
          </w:p>
        </w:tc>
        <w:tc>
          <w:tcPr>
            <w:tcW w:w="1928" w:type="dxa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</w:t>
            </w:r>
          </w:p>
        </w:tc>
      </w:tr>
      <w:tr w:rsidR="002C26A5">
        <w:tc>
          <w:tcPr>
            <w:tcW w:w="1920" w:type="dxa"/>
            <w:vMerge w:val="restart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Поиски и оценка</w:t>
            </w: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Геологическая изученность: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</w:pP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Низкая (отсутствуют геологические и геофизические карты масштаба 1:50000 - 1:200000)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Средняя (имеются геологические и геофизические карты масштаба 1:50000 - 1:200000)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 xml:space="preserve">Высокая (имеются геологические и геофизические карты масштаба 1:50000 - 1:200000, результаты ранее проходивших поисковых, </w:t>
            </w:r>
            <w:proofErr w:type="spellStart"/>
            <w:r>
              <w:t>поисковооценочных</w:t>
            </w:r>
            <w:proofErr w:type="spellEnd"/>
            <w:r>
              <w:t>, разведочных работ на данный вид полезных ископаемых)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0,30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Прогнозные ресурсы на данный вид полезного ископаемого: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</w:pP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- отсутствуют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- имеются прогнозные ресурсы твердых полезных ископаемых категорий P</w:t>
            </w:r>
            <w:r>
              <w:rPr>
                <w:vertAlign w:val="subscript"/>
              </w:rPr>
              <w:t>1</w:t>
            </w:r>
            <w:r>
              <w:t xml:space="preserve"> и P</w:t>
            </w:r>
            <w:r>
              <w:rPr>
                <w:vertAlign w:val="subscript"/>
              </w:rPr>
              <w:t>2</w:t>
            </w:r>
            <w:r>
              <w:t xml:space="preserve"> или прогнозные ресурсы углеводородного сырья D</w:t>
            </w:r>
            <w:r>
              <w:rPr>
                <w:vertAlign w:val="subscript"/>
              </w:rPr>
              <w:t>1</w:t>
            </w:r>
            <w:r>
              <w:t xml:space="preserve"> и D</w:t>
            </w:r>
            <w:r>
              <w:rPr>
                <w:vertAlign w:val="subscript"/>
              </w:rPr>
              <w:t>2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0,30</w:t>
            </w:r>
          </w:p>
        </w:tc>
      </w:tr>
      <w:tr w:rsidR="002C26A5">
        <w:tc>
          <w:tcPr>
            <w:tcW w:w="1920" w:type="dxa"/>
            <w:vMerge w:val="restart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 xml:space="preserve">Разведка (полезные </w:t>
            </w:r>
            <w:r>
              <w:lastRenderedPageBreak/>
              <w:t>ископаемые, за исключением углеводородного сырья)</w:t>
            </w: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lastRenderedPageBreak/>
              <w:t xml:space="preserve">Группа сложности месторождения в соответствии с действующими классификациями запасов по видам </w:t>
            </w:r>
            <w:r>
              <w:lastRenderedPageBreak/>
              <w:t>полезных ископаемых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</w:pP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1 группа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0,60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2 группа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0,40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3 группа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0,20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4 группа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1920" w:type="dxa"/>
            <w:vMerge w:val="restart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Разведка (углеводородное сырье)</w:t>
            </w: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Группа сложности месторождения в соответствии с действующими классификациями запасов по видам полезных ископаемых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</w:pP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1 группа (простого строения - однофазные залежи, связанные с ненарушенными или слабо нарушенными структурами, продуктивные пласты характеризуются выдержанностью толщин и коллекторских свойств по площади и разрезу)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0,60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2 группа (сложного строения - одно- и двухфазные залежи, характеризующиеся невыдержанностью толщин и коллекторских свойств продуктивных пластов по площади и разрезу или наличием литологических замещений коллекторов непроницаемыми породами, либо тектонических нарушений)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0,30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3 группа (очень сложного строения - одно- и двухфазные залежи, характеризующиеся как наличием литологических замещений или тектонических нарушений, так и невыдержанностью толщин и коллекторских свойств продуктивных пластов)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1920" w:type="dxa"/>
            <w:vMerge w:val="restart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Строительство и эксплуатация подземных сооружений, не связанных с добычей полезных ископаемых</w:t>
            </w: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Горно-геологические и инженерно-геологические условия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</w:pP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Простые (глубина работ до 300 м, породы устойчивые, не склонные к самовозгоранию, не опасны по силикозу, газу и пыли, по содержанию радионуклидов отвечают 1 классу; при строительстве будут применяться типовые технологии горных работ, не требуется специальных мер по обеспечению устойчивости кровли и поддержанию выработанного пространства, район работ сейсмически безопасен - опасность по шкале сейсмической интенсивности MSK-64 1 - 5 баллов)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</w:tcPr>
          <w:p w:rsidR="002C26A5" w:rsidRDefault="002C26A5">
            <w:pPr>
              <w:pStyle w:val="ConsPlusNormal"/>
              <w:jc w:val="center"/>
            </w:pPr>
            <w:r>
              <w:t xml:space="preserve">Средней сложности (глубина работ до 600 м, породы устойчивые и слабоустойчивые, не склонные к самовозгоранию, не опасны по силикозу, газу и пыли, по содержанию радионуклидов отвечают 1 - 2 классу; при строительстве и эксплуатации на отдельных участках требуется применение специальных мер по </w:t>
            </w:r>
            <w:r>
              <w:lastRenderedPageBreak/>
              <w:t>обеспечению устойчивости кровли и выработанного пространства, сейсмическая опасность района работ по шкале сейсмической интенсивности MSK-64 5 - 7 баллов)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lastRenderedPageBreak/>
              <w:t>0,1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 xml:space="preserve">Весьма сложные (глубина работ более 600 м, породы неустойчивые, склонные к самовозгоранию, </w:t>
            </w:r>
            <w:proofErr w:type="spellStart"/>
            <w:r>
              <w:t>силикозоопасные</w:t>
            </w:r>
            <w:proofErr w:type="spellEnd"/>
            <w:r>
              <w:t>, опасные по газу и пыли, по содержанию радионуклидов относятся к 3 классу, сейсмическая опасность района работ по шкале сейсмической интенсивности MSK-64 выше 7 баллов)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Гидрогеологические условия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</w:pP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Простые (</w:t>
            </w:r>
            <w:proofErr w:type="spellStart"/>
            <w:r>
              <w:t>водопритоки</w:t>
            </w:r>
            <w:proofErr w:type="spellEnd"/>
            <w:r>
              <w:t xml:space="preserve"> в выработки до 600 куб. м/ч, специальных осушительных мероприятий и специальной очистки подземных вод не требуется)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Средней сложности (</w:t>
            </w:r>
            <w:proofErr w:type="spellStart"/>
            <w:r>
              <w:t>водопритоки</w:t>
            </w:r>
            <w:proofErr w:type="spellEnd"/>
            <w:r>
              <w:t xml:space="preserve"> в выработки 600 - 2000 тыс. куб. м/ч, необходимо проведение опережающих мер по осушению отдельных участков, сброс вод из выработок может осуществляться без специальных очистителей с применением отстойников)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  <w:tr w:rsidR="002C26A5">
        <w:tc>
          <w:tcPr>
            <w:tcW w:w="1920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521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 xml:space="preserve">Весьма сложные (наличие комплекса осложняющих факторов: интенсивная тектоническая нарушенность, наличие карста, тесной гидродинамической связи поверхностных и подземных вод, </w:t>
            </w:r>
            <w:proofErr w:type="spellStart"/>
            <w:r>
              <w:t>водопритоки</w:t>
            </w:r>
            <w:proofErr w:type="spellEnd"/>
            <w:r>
              <w:t xml:space="preserve"> в выработки более 2000 куб. м/ч)</w:t>
            </w:r>
          </w:p>
        </w:tc>
        <w:tc>
          <w:tcPr>
            <w:tcW w:w="1928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right"/>
        <w:outlineLvl w:val="1"/>
      </w:pPr>
      <w:r>
        <w:t>Приложение N 2</w:t>
      </w:r>
    </w:p>
    <w:p w:rsidR="002C26A5" w:rsidRDefault="002C26A5">
      <w:pPr>
        <w:pStyle w:val="ConsPlusNormal"/>
        <w:jc w:val="right"/>
      </w:pPr>
      <w:r>
        <w:t>к Порядку определения конкретных</w:t>
      </w:r>
    </w:p>
    <w:p w:rsidR="002C26A5" w:rsidRDefault="002C26A5">
      <w:pPr>
        <w:pStyle w:val="ConsPlusNormal"/>
        <w:jc w:val="right"/>
      </w:pPr>
      <w:r>
        <w:t>размеров ставок регулярных</w:t>
      </w:r>
    </w:p>
    <w:p w:rsidR="002C26A5" w:rsidRDefault="002C26A5">
      <w:pPr>
        <w:pStyle w:val="ConsPlusNormal"/>
        <w:jc w:val="right"/>
      </w:pPr>
      <w:r>
        <w:t>платежей за пользование недрами,</w:t>
      </w:r>
    </w:p>
    <w:p w:rsidR="002C26A5" w:rsidRDefault="002C26A5">
      <w:pPr>
        <w:pStyle w:val="ConsPlusNormal"/>
        <w:jc w:val="right"/>
      </w:pPr>
      <w:r>
        <w:t>утвержденному приказом</w:t>
      </w:r>
    </w:p>
    <w:p w:rsidR="002C26A5" w:rsidRDefault="002C26A5">
      <w:pPr>
        <w:pStyle w:val="ConsPlusNormal"/>
        <w:jc w:val="right"/>
      </w:pPr>
      <w:r>
        <w:t>Минприроды России</w:t>
      </w:r>
    </w:p>
    <w:p w:rsidR="002C26A5" w:rsidRDefault="002C26A5">
      <w:pPr>
        <w:pStyle w:val="ConsPlusNormal"/>
        <w:jc w:val="right"/>
      </w:pPr>
      <w:r>
        <w:t>от 30.03.2021 N 214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</w:pPr>
      <w:bookmarkStart w:id="3" w:name="P257"/>
      <w:bookmarkEnd w:id="3"/>
      <w:r>
        <w:t>ПОПРАВОЧНЫЕ КОЭФФИЦИЕНТЫ,</w:t>
      </w:r>
    </w:p>
    <w:p w:rsidR="002C26A5" w:rsidRDefault="002C26A5">
      <w:pPr>
        <w:pStyle w:val="ConsPlusTitle"/>
        <w:jc w:val="center"/>
      </w:pPr>
      <w:r>
        <w:t>УЧИТЫВАЮЩИЕ УСЛОВИЯ ПРОВЕДЕНИЯ ГЕОЛОГОРАЗВЕДОЧНЫХ РАБОТ,</w:t>
      </w:r>
    </w:p>
    <w:p w:rsidR="002C26A5" w:rsidRDefault="002C26A5">
      <w:pPr>
        <w:pStyle w:val="ConsPlusTitle"/>
        <w:jc w:val="center"/>
      </w:pPr>
      <w:r>
        <w:t>СТРОИТЕЛЬСТВА И ЭКСПЛУАТАЦИИ ПОДЗЕМНЫХ СООРУЖЕНИЙ,</w:t>
      </w:r>
    </w:p>
    <w:p w:rsidR="002C26A5" w:rsidRDefault="002C26A5">
      <w:pPr>
        <w:pStyle w:val="ConsPlusTitle"/>
        <w:jc w:val="center"/>
      </w:pPr>
      <w:r>
        <w:t>НЕ СВЯЗАННЫХ С ДОБЫЧЕЙ ПОЛЕЗНЫХ ИСКОПАЕМЫХ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2"/>
      </w:pPr>
      <w:r>
        <w:t>1. Экономико-географические условия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Удаленность от портов и экономическая освоенность региона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586"/>
        <w:gridCol w:w="1587"/>
        <w:gridCol w:w="2948"/>
      </w:tblGrid>
      <w:tr w:rsidR="002C26A5">
        <w:tc>
          <w:tcPr>
            <w:tcW w:w="2948" w:type="dxa"/>
            <w:vMerge w:val="restart"/>
          </w:tcPr>
          <w:p w:rsidR="002C26A5" w:rsidRDefault="002C26A5">
            <w:pPr>
              <w:pStyle w:val="ConsPlusNormal"/>
              <w:jc w:val="center"/>
            </w:pPr>
            <w:r>
              <w:t xml:space="preserve">Степень освоенности </w:t>
            </w:r>
            <w:r>
              <w:lastRenderedPageBreak/>
              <w:t>региона, удаленность от портов</w:t>
            </w:r>
          </w:p>
        </w:tc>
        <w:tc>
          <w:tcPr>
            <w:tcW w:w="3173" w:type="dxa"/>
            <w:gridSpan w:val="2"/>
          </w:tcPr>
          <w:p w:rsidR="002C26A5" w:rsidRDefault="002C26A5">
            <w:pPr>
              <w:pStyle w:val="ConsPlusNormal"/>
              <w:jc w:val="center"/>
            </w:pPr>
            <w:r>
              <w:lastRenderedPageBreak/>
              <w:t xml:space="preserve">Оценка влияния фактора при </w:t>
            </w:r>
            <w:r>
              <w:lastRenderedPageBreak/>
              <w:t>пользовании недрами в целях</w:t>
            </w:r>
          </w:p>
        </w:tc>
        <w:tc>
          <w:tcPr>
            <w:tcW w:w="2948" w:type="dxa"/>
            <w:vMerge w:val="restart"/>
          </w:tcPr>
          <w:p w:rsidR="002C26A5" w:rsidRDefault="002C26A5">
            <w:pPr>
              <w:pStyle w:val="ConsPlusNormal"/>
              <w:jc w:val="center"/>
            </w:pPr>
            <w:r>
              <w:lastRenderedPageBreak/>
              <w:t>Отнесенные акватории, моря</w:t>
            </w:r>
          </w:p>
        </w:tc>
      </w:tr>
      <w:tr w:rsidR="002C26A5">
        <w:tc>
          <w:tcPr>
            <w:tcW w:w="2948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1586" w:type="dxa"/>
          </w:tcPr>
          <w:p w:rsidR="002C26A5" w:rsidRDefault="002C26A5">
            <w:pPr>
              <w:pStyle w:val="ConsPlusNormal"/>
              <w:jc w:val="center"/>
            </w:pPr>
            <w:r>
              <w:t>поиска и оценки месторождений полезных ископаемых</w:t>
            </w:r>
          </w:p>
        </w:tc>
        <w:tc>
          <w:tcPr>
            <w:tcW w:w="1587" w:type="dxa"/>
          </w:tcPr>
          <w:p w:rsidR="002C26A5" w:rsidRDefault="002C26A5">
            <w:pPr>
              <w:pStyle w:val="ConsPlusNormal"/>
              <w:jc w:val="center"/>
            </w:pPr>
            <w:r>
              <w:t>разведки полезных ископаемых</w:t>
            </w:r>
          </w:p>
        </w:tc>
        <w:tc>
          <w:tcPr>
            <w:tcW w:w="2948" w:type="dxa"/>
            <w:vMerge/>
          </w:tcPr>
          <w:p w:rsidR="002C26A5" w:rsidRDefault="002C26A5">
            <w:pPr>
              <w:pStyle w:val="ConsPlusNormal"/>
            </w:pPr>
          </w:p>
        </w:tc>
      </w:tr>
      <w:tr w:rsidR="002C26A5">
        <w:tc>
          <w:tcPr>
            <w:tcW w:w="2948" w:type="dxa"/>
          </w:tcPr>
          <w:p w:rsidR="002C26A5" w:rsidRDefault="002C26A5">
            <w:pPr>
              <w:pStyle w:val="ConsPlusNormal"/>
              <w:jc w:val="center"/>
            </w:pPr>
            <w:r>
              <w:t>Инфраструктура отсутствует или удаленность от портов более 2000 км</w:t>
            </w:r>
          </w:p>
        </w:tc>
        <w:tc>
          <w:tcPr>
            <w:tcW w:w="1586" w:type="dxa"/>
          </w:tcPr>
          <w:p w:rsidR="002C26A5" w:rsidRDefault="002C26A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87" w:type="dxa"/>
          </w:tcPr>
          <w:p w:rsidR="002C26A5" w:rsidRDefault="002C26A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948" w:type="dxa"/>
          </w:tcPr>
          <w:p w:rsidR="002C26A5" w:rsidRDefault="002C26A5">
            <w:pPr>
              <w:pStyle w:val="ConsPlusNormal"/>
              <w:jc w:val="center"/>
            </w:pPr>
            <w:r>
              <w:t>Восточно-Сибирское, Лаптевых, Чукотское, Берингово, северный сектор Карского</w:t>
            </w:r>
          </w:p>
        </w:tc>
      </w:tr>
      <w:tr w:rsidR="002C26A5">
        <w:tc>
          <w:tcPr>
            <w:tcW w:w="2948" w:type="dxa"/>
          </w:tcPr>
          <w:p w:rsidR="002C26A5" w:rsidRDefault="002C26A5">
            <w:pPr>
              <w:pStyle w:val="ConsPlusNormal"/>
              <w:jc w:val="center"/>
            </w:pPr>
            <w:r>
              <w:t xml:space="preserve">Инфраструктура имеется частично (есть </w:t>
            </w:r>
            <w:proofErr w:type="spellStart"/>
            <w:r>
              <w:t>портпункт</w:t>
            </w:r>
            <w:proofErr w:type="spellEnd"/>
            <w:r>
              <w:t>) или удаленность от портов более 1000 км, но менее 2000 км</w:t>
            </w:r>
          </w:p>
        </w:tc>
        <w:tc>
          <w:tcPr>
            <w:tcW w:w="1586" w:type="dxa"/>
          </w:tcPr>
          <w:p w:rsidR="002C26A5" w:rsidRDefault="002C26A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587" w:type="dxa"/>
          </w:tcPr>
          <w:p w:rsidR="002C26A5" w:rsidRDefault="002C26A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948" w:type="dxa"/>
          </w:tcPr>
          <w:p w:rsidR="002C26A5" w:rsidRDefault="002C26A5">
            <w:pPr>
              <w:pStyle w:val="ConsPlusNormal"/>
              <w:jc w:val="center"/>
            </w:pPr>
            <w:r>
              <w:t>Баренцево, южный сектор Карского, Охотское</w:t>
            </w:r>
          </w:p>
        </w:tc>
      </w:tr>
      <w:tr w:rsidR="002C26A5">
        <w:tc>
          <w:tcPr>
            <w:tcW w:w="2948" w:type="dxa"/>
          </w:tcPr>
          <w:p w:rsidR="002C26A5" w:rsidRDefault="002C26A5">
            <w:pPr>
              <w:pStyle w:val="ConsPlusNormal"/>
              <w:jc w:val="center"/>
            </w:pPr>
            <w:r>
              <w:t>Инфраструктура имеется полностью или удаленность от портов до 1000 км</w:t>
            </w:r>
          </w:p>
        </w:tc>
        <w:tc>
          <w:tcPr>
            <w:tcW w:w="1586" w:type="dxa"/>
          </w:tcPr>
          <w:p w:rsidR="002C26A5" w:rsidRDefault="002C26A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87" w:type="dxa"/>
          </w:tcPr>
          <w:p w:rsidR="002C26A5" w:rsidRDefault="002C26A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948" w:type="dxa"/>
          </w:tcPr>
          <w:p w:rsidR="002C26A5" w:rsidRDefault="002C26A5">
            <w:pPr>
              <w:pStyle w:val="ConsPlusNormal"/>
              <w:jc w:val="center"/>
            </w:pPr>
            <w:r>
              <w:t>Балтийское, Черное, Азовское, Каспийское, Японское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Климатические условия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575"/>
        <w:gridCol w:w="2576"/>
      </w:tblGrid>
      <w:tr w:rsidR="002C26A5">
        <w:tc>
          <w:tcPr>
            <w:tcW w:w="3912" w:type="dxa"/>
            <w:vMerge w:val="restart"/>
          </w:tcPr>
          <w:p w:rsidR="002C26A5" w:rsidRDefault="002C26A5">
            <w:pPr>
              <w:pStyle w:val="ConsPlusNormal"/>
              <w:jc w:val="center"/>
            </w:pPr>
            <w:r>
              <w:t>Отнесенные акватории, моря</w:t>
            </w:r>
          </w:p>
        </w:tc>
        <w:tc>
          <w:tcPr>
            <w:tcW w:w="5151" w:type="dxa"/>
            <w:gridSpan w:val="2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</w:t>
            </w:r>
          </w:p>
        </w:tc>
      </w:tr>
      <w:tr w:rsidR="002C26A5">
        <w:tc>
          <w:tcPr>
            <w:tcW w:w="3912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2575" w:type="dxa"/>
          </w:tcPr>
          <w:p w:rsidR="002C26A5" w:rsidRDefault="002C26A5">
            <w:pPr>
              <w:pStyle w:val="ConsPlusNormal"/>
              <w:jc w:val="center"/>
            </w:pPr>
            <w:r>
              <w:t>поиска и оценки месторождений полезных ископаемых</w:t>
            </w:r>
          </w:p>
        </w:tc>
        <w:tc>
          <w:tcPr>
            <w:tcW w:w="2576" w:type="dxa"/>
          </w:tcPr>
          <w:p w:rsidR="002C26A5" w:rsidRDefault="002C26A5">
            <w:pPr>
              <w:pStyle w:val="ConsPlusNormal"/>
              <w:jc w:val="center"/>
            </w:pPr>
            <w:r>
              <w:t>разведки полезных ископаемых</w:t>
            </w:r>
          </w:p>
        </w:tc>
      </w:tr>
      <w:tr w:rsidR="002C26A5">
        <w:tc>
          <w:tcPr>
            <w:tcW w:w="3912" w:type="dxa"/>
          </w:tcPr>
          <w:p w:rsidR="002C26A5" w:rsidRDefault="002C26A5">
            <w:pPr>
              <w:pStyle w:val="ConsPlusNormal"/>
              <w:jc w:val="center"/>
            </w:pPr>
            <w:r>
              <w:t>моря Баренцево, Карское, Восточно-Сибирское, Лаптевых, Чукотское, Берингово</w:t>
            </w:r>
          </w:p>
        </w:tc>
        <w:tc>
          <w:tcPr>
            <w:tcW w:w="2575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57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0,05</w:t>
            </w:r>
          </w:p>
        </w:tc>
      </w:tr>
      <w:tr w:rsidR="002C26A5">
        <w:tc>
          <w:tcPr>
            <w:tcW w:w="3912" w:type="dxa"/>
          </w:tcPr>
          <w:p w:rsidR="002C26A5" w:rsidRDefault="002C26A5">
            <w:pPr>
              <w:pStyle w:val="ConsPlusNormal"/>
              <w:jc w:val="center"/>
            </w:pPr>
            <w:r>
              <w:t>моря Охотское, Балтийское, Японское</w:t>
            </w:r>
          </w:p>
        </w:tc>
        <w:tc>
          <w:tcPr>
            <w:tcW w:w="2575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257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0,07</w:t>
            </w:r>
          </w:p>
        </w:tc>
      </w:tr>
      <w:tr w:rsidR="002C26A5">
        <w:tc>
          <w:tcPr>
            <w:tcW w:w="3912" w:type="dxa"/>
          </w:tcPr>
          <w:p w:rsidR="002C26A5" w:rsidRDefault="002C26A5">
            <w:pPr>
              <w:pStyle w:val="ConsPlusNormal"/>
              <w:jc w:val="center"/>
            </w:pPr>
            <w:r>
              <w:t>моря Черное, Азовское, Каспийское</w:t>
            </w:r>
          </w:p>
        </w:tc>
        <w:tc>
          <w:tcPr>
            <w:tcW w:w="2575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576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2"/>
      </w:pPr>
      <w:r>
        <w:t>2. Степень геологической изученности территории</w:t>
      </w:r>
    </w:p>
    <w:p w:rsidR="002C26A5" w:rsidRDefault="002C26A5">
      <w:pPr>
        <w:pStyle w:val="ConsPlusNormal"/>
        <w:spacing w:before="220"/>
        <w:jc w:val="center"/>
      </w:pPr>
      <w:r>
        <w:t>и степени риска</w:t>
      </w: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Плотность прогнозных ресурсов углеводородного сырья</w:t>
      </w:r>
    </w:p>
    <w:p w:rsidR="002C26A5" w:rsidRDefault="002C26A5">
      <w:pPr>
        <w:pStyle w:val="ConsPlusTitle"/>
        <w:jc w:val="center"/>
      </w:pPr>
      <w:r>
        <w:t>(применяется при расчете размеров ставок регулярных платежей</w:t>
      </w:r>
    </w:p>
    <w:p w:rsidR="002C26A5" w:rsidRDefault="002C26A5">
      <w:pPr>
        <w:pStyle w:val="ConsPlusTitle"/>
        <w:jc w:val="center"/>
      </w:pPr>
      <w:r>
        <w:t>при проведении поисково-оценочных работ)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5"/>
        <w:gridCol w:w="4526"/>
      </w:tblGrid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r>
              <w:t>Плотность прогнозных ресурсов углеводородного сырья</w:t>
            </w:r>
          </w:p>
          <w:p w:rsidR="002C26A5" w:rsidRDefault="002C26A5">
            <w:pPr>
              <w:pStyle w:val="ConsPlusNormal"/>
              <w:jc w:val="center"/>
            </w:pPr>
            <w:r>
              <w:t xml:space="preserve">(тыс. </w:t>
            </w:r>
            <w:proofErr w:type="spellStart"/>
            <w:r>
              <w:t>т.у.т</w:t>
            </w:r>
            <w:proofErr w:type="spellEnd"/>
            <w:r>
              <w:t>./кв. км)</w:t>
            </w:r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 поиска и оценки месторождений полезных ископаемых</w:t>
            </w:r>
          </w:p>
        </w:tc>
      </w:tr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r>
              <w:t>&gt; 200</w:t>
            </w:r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</w:tr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r>
              <w:lastRenderedPageBreak/>
              <w:t>100 - 200</w:t>
            </w:r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0,18</w:t>
            </w:r>
          </w:p>
        </w:tc>
      </w:tr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0,16</w:t>
            </w:r>
          </w:p>
        </w:tc>
      </w:tr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0,14</w:t>
            </w:r>
          </w:p>
        </w:tc>
      </w:tr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0,12</w:t>
            </w:r>
          </w:p>
        </w:tc>
      </w:tr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r>
              <w:t>5 - 0</w:t>
            </w:r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0,11</w:t>
            </w:r>
          </w:p>
        </w:tc>
      </w:tr>
      <w:tr w:rsidR="002C26A5">
        <w:tc>
          <w:tcPr>
            <w:tcW w:w="4525" w:type="dxa"/>
          </w:tcPr>
          <w:p w:rsidR="002C26A5" w:rsidRDefault="002C26A5">
            <w:pPr>
              <w:pStyle w:val="ConsPlusNormal"/>
              <w:jc w:val="center"/>
            </w:pPr>
            <w:proofErr w:type="gramStart"/>
            <w:r>
              <w:t>&lt; 5</w:t>
            </w:r>
            <w:proofErr w:type="gramEnd"/>
          </w:p>
        </w:tc>
        <w:tc>
          <w:tcPr>
            <w:tcW w:w="4526" w:type="dxa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Плотность прогнозных ресурсов иных видов полезных ископаемых</w:t>
      </w:r>
    </w:p>
    <w:p w:rsidR="002C26A5" w:rsidRDefault="002C26A5">
      <w:pPr>
        <w:pStyle w:val="ConsPlusTitle"/>
        <w:jc w:val="center"/>
      </w:pPr>
      <w:r>
        <w:t>(применяется при расчете размеров ставок регулярных платежей</w:t>
      </w:r>
    </w:p>
    <w:p w:rsidR="002C26A5" w:rsidRDefault="002C26A5">
      <w:pPr>
        <w:pStyle w:val="ConsPlusTitle"/>
        <w:jc w:val="center"/>
      </w:pPr>
      <w:r>
        <w:t>при проведении поисково-оценочных работ)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3"/>
        <w:gridCol w:w="4524"/>
      </w:tblGrid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Плотность прогнозных ресурсов</w:t>
            </w:r>
          </w:p>
          <w:p w:rsidR="002C26A5" w:rsidRDefault="002C26A5">
            <w:pPr>
              <w:pStyle w:val="ConsPlusNormal"/>
              <w:jc w:val="center"/>
            </w:pPr>
            <w:r>
              <w:t>(тыс. т/кв. км)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 поиска и оценки месторождений полезных ископаемых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&gt; 200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100 - 200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0,18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0,16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0,14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0,12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0,11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proofErr w:type="gramStart"/>
            <w:r>
              <w:t>&lt; 5</w:t>
            </w:r>
            <w:proofErr w:type="gramEnd"/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Плотность запасов (C</w:t>
      </w:r>
      <w:r>
        <w:rPr>
          <w:vertAlign w:val="subscript"/>
        </w:rPr>
        <w:t>1</w:t>
      </w:r>
      <w:r>
        <w:t xml:space="preserve"> + C</w:t>
      </w:r>
      <w:r>
        <w:rPr>
          <w:vertAlign w:val="subscript"/>
        </w:rPr>
        <w:t>2</w:t>
      </w:r>
      <w:r>
        <w:t>) углеводородного сырья</w:t>
      </w:r>
    </w:p>
    <w:p w:rsidR="002C26A5" w:rsidRDefault="002C26A5">
      <w:pPr>
        <w:pStyle w:val="ConsPlusTitle"/>
        <w:jc w:val="center"/>
      </w:pPr>
      <w:r>
        <w:t>(применяется при расчете ставок регулярных платежей</w:t>
      </w:r>
    </w:p>
    <w:p w:rsidR="002C26A5" w:rsidRDefault="002C26A5">
      <w:pPr>
        <w:pStyle w:val="ConsPlusTitle"/>
        <w:jc w:val="center"/>
      </w:pPr>
      <w:r>
        <w:t>при проведении разведочных работ)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3"/>
        <w:gridCol w:w="4524"/>
      </w:tblGrid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Плотность запасов углеводородного сырья</w:t>
            </w:r>
          </w:p>
          <w:p w:rsidR="002C26A5" w:rsidRDefault="002C26A5">
            <w:pPr>
              <w:pStyle w:val="ConsPlusNormal"/>
              <w:jc w:val="center"/>
            </w:pPr>
            <w:r>
              <w:t xml:space="preserve">(тыс. </w:t>
            </w:r>
            <w:proofErr w:type="spellStart"/>
            <w:r>
              <w:t>т.у.т</w:t>
            </w:r>
            <w:proofErr w:type="spellEnd"/>
            <w:r>
              <w:t>./кв. км)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 разведки полезных ископаемых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&gt; 2500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1500 - 2500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0,18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1000 - 1500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0,16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500 - 1000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0,14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r>
              <w:t>100 - 500</w:t>
            </w:r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0,12</w:t>
            </w:r>
          </w:p>
        </w:tc>
      </w:tr>
      <w:tr w:rsidR="002C26A5">
        <w:tc>
          <w:tcPr>
            <w:tcW w:w="4523" w:type="dxa"/>
          </w:tcPr>
          <w:p w:rsidR="002C26A5" w:rsidRDefault="002C26A5">
            <w:pPr>
              <w:pStyle w:val="ConsPlusNormal"/>
              <w:jc w:val="center"/>
            </w:pPr>
            <w:proofErr w:type="gramStart"/>
            <w:r>
              <w:t>&lt; 100</w:t>
            </w:r>
            <w:proofErr w:type="gramEnd"/>
          </w:p>
        </w:tc>
        <w:tc>
          <w:tcPr>
            <w:tcW w:w="4524" w:type="dxa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Плотность запасов (C</w:t>
      </w:r>
      <w:r>
        <w:rPr>
          <w:vertAlign w:val="subscript"/>
        </w:rPr>
        <w:t>1</w:t>
      </w:r>
      <w:r>
        <w:t xml:space="preserve"> + C</w:t>
      </w:r>
      <w:r>
        <w:rPr>
          <w:vertAlign w:val="subscript"/>
        </w:rPr>
        <w:t>2</w:t>
      </w:r>
      <w:r>
        <w:t>) иных видов полезных ископаемых</w:t>
      </w:r>
    </w:p>
    <w:p w:rsidR="002C26A5" w:rsidRDefault="002C26A5">
      <w:pPr>
        <w:pStyle w:val="ConsPlusTitle"/>
        <w:jc w:val="center"/>
      </w:pPr>
      <w:r>
        <w:lastRenderedPageBreak/>
        <w:t>(применяется при расчете размеров ставок регулярных платежей</w:t>
      </w:r>
    </w:p>
    <w:p w:rsidR="002C26A5" w:rsidRDefault="002C26A5">
      <w:pPr>
        <w:pStyle w:val="ConsPlusTitle"/>
        <w:jc w:val="center"/>
      </w:pPr>
      <w:r>
        <w:t>при проведении разведочных работ)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3"/>
        <w:gridCol w:w="4524"/>
      </w:tblGrid>
      <w:tr w:rsidR="002C26A5">
        <w:tc>
          <w:tcPr>
            <w:tcW w:w="4523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Плотность запасов полезных ископаемых (тыс. т/кв. км)</w:t>
            </w:r>
          </w:p>
        </w:tc>
        <w:tc>
          <w:tcPr>
            <w:tcW w:w="4524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 разведки полезных ископаемых</w:t>
            </w:r>
          </w:p>
        </w:tc>
      </w:tr>
      <w:tr w:rsidR="002C26A5">
        <w:tc>
          <w:tcPr>
            <w:tcW w:w="4523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&gt; 2500</w:t>
            </w:r>
          </w:p>
        </w:tc>
        <w:tc>
          <w:tcPr>
            <w:tcW w:w="4524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</w:tr>
      <w:tr w:rsidR="002C26A5">
        <w:tc>
          <w:tcPr>
            <w:tcW w:w="4523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1500 - 2500</w:t>
            </w:r>
          </w:p>
        </w:tc>
        <w:tc>
          <w:tcPr>
            <w:tcW w:w="4524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0,18</w:t>
            </w:r>
          </w:p>
        </w:tc>
      </w:tr>
      <w:tr w:rsidR="002C26A5">
        <w:tc>
          <w:tcPr>
            <w:tcW w:w="4523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1000 - 1500</w:t>
            </w:r>
          </w:p>
        </w:tc>
        <w:tc>
          <w:tcPr>
            <w:tcW w:w="4524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0,16</w:t>
            </w:r>
          </w:p>
        </w:tc>
      </w:tr>
      <w:tr w:rsidR="002C26A5">
        <w:tc>
          <w:tcPr>
            <w:tcW w:w="4523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500 - 1000</w:t>
            </w:r>
          </w:p>
        </w:tc>
        <w:tc>
          <w:tcPr>
            <w:tcW w:w="4524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0,14</w:t>
            </w:r>
          </w:p>
        </w:tc>
      </w:tr>
      <w:tr w:rsidR="002C26A5">
        <w:tc>
          <w:tcPr>
            <w:tcW w:w="4523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100 - 500</w:t>
            </w:r>
          </w:p>
        </w:tc>
        <w:tc>
          <w:tcPr>
            <w:tcW w:w="4524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0,12</w:t>
            </w:r>
          </w:p>
        </w:tc>
      </w:tr>
      <w:tr w:rsidR="002C26A5">
        <w:tc>
          <w:tcPr>
            <w:tcW w:w="4523" w:type="dxa"/>
            <w:vAlign w:val="center"/>
          </w:tcPr>
          <w:p w:rsidR="002C26A5" w:rsidRDefault="002C26A5">
            <w:pPr>
              <w:pStyle w:val="ConsPlusNormal"/>
              <w:jc w:val="center"/>
            </w:pPr>
            <w:proofErr w:type="gramStart"/>
            <w:r>
              <w:t>&lt; 100</w:t>
            </w:r>
            <w:proofErr w:type="gramEnd"/>
          </w:p>
        </w:tc>
        <w:tc>
          <w:tcPr>
            <w:tcW w:w="4524" w:type="dxa"/>
            <w:vAlign w:val="center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Глубина залегания продуктивных горизонтов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5"/>
        <w:gridCol w:w="3405"/>
      </w:tblGrid>
      <w:tr w:rsidR="002C26A5">
        <w:tc>
          <w:tcPr>
            <w:tcW w:w="2211" w:type="dxa"/>
          </w:tcPr>
          <w:p w:rsidR="002C26A5" w:rsidRDefault="002C26A5">
            <w:pPr>
              <w:pStyle w:val="ConsPlusNormal"/>
              <w:jc w:val="center"/>
            </w:pPr>
            <w:r>
              <w:t>Глубина, км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 поиска и оценки месторождений полезных ископаемых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 разведки полезных ископаемых</w:t>
            </w:r>
          </w:p>
        </w:tc>
      </w:tr>
      <w:tr w:rsidR="002C26A5">
        <w:tc>
          <w:tcPr>
            <w:tcW w:w="2211" w:type="dxa"/>
          </w:tcPr>
          <w:p w:rsidR="002C26A5" w:rsidRDefault="002C26A5">
            <w:pPr>
              <w:pStyle w:val="ConsPlusNormal"/>
              <w:jc w:val="center"/>
            </w:pPr>
            <w:r>
              <w:t>До 1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0,4</w:t>
            </w:r>
          </w:p>
        </w:tc>
      </w:tr>
      <w:tr w:rsidR="002C26A5">
        <w:tc>
          <w:tcPr>
            <w:tcW w:w="2211" w:type="dxa"/>
          </w:tcPr>
          <w:p w:rsidR="002C26A5" w:rsidRDefault="002C26A5">
            <w:pPr>
              <w:pStyle w:val="ConsPlusNormal"/>
              <w:jc w:val="center"/>
            </w:pPr>
            <w:r>
              <w:t>От 1 до 3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0,3</w:t>
            </w:r>
          </w:p>
        </w:tc>
      </w:tr>
      <w:tr w:rsidR="002C26A5">
        <w:tc>
          <w:tcPr>
            <w:tcW w:w="2211" w:type="dxa"/>
          </w:tcPr>
          <w:p w:rsidR="002C26A5" w:rsidRDefault="002C26A5">
            <w:pPr>
              <w:pStyle w:val="ConsPlusNormal"/>
              <w:jc w:val="center"/>
            </w:pPr>
            <w:r>
              <w:t>От 3 до 5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0,2</w:t>
            </w:r>
          </w:p>
        </w:tc>
      </w:tr>
      <w:tr w:rsidR="002C26A5">
        <w:tc>
          <w:tcPr>
            <w:tcW w:w="2211" w:type="dxa"/>
          </w:tcPr>
          <w:p w:rsidR="002C26A5" w:rsidRDefault="002C26A5">
            <w:pPr>
              <w:pStyle w:val="ConsPlusNormal"/>
              <w:jc w:val="center"/>
            </w:pPr>
            <w:r>
              <w:t>От 5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3405" w:type="dxa"/>
          </w:tcPr>
          <w:p w:rsidR="002C26A5" w:rsidRDefault="002C26A5">
            <w:pPr>
              <w:pStyle w:val="ConsPlusNormal"/>
              <w:jc w:val="center"/>
            </w:pPr>
            <w:r>
              <w:t>0,1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Title"/>
        <w:jc w:val="center"/>
        <w:outlineLvl w:val="3"/>
      </w:pPr>
      <w:r>
        <w:t>Продолжительность работ</w:t>
      </w:r>
    </w:p>
    <w:p w:rsidR="002C26A5" w:rsidRDefault="002C26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1"/>
        <w:gridCol w:w="2117"/>
        <w:gridCol w:w="2118"/>
      </w:tblGrid>
      <w:tr w:rsidR="002C26A5">
        <w:tc>
          <w:tcPr>
            <w:tcW w:w="4781" w:type="dxa"/>
            <w:vMerge w:val="restart"/>
          </w:tcPr>
          <w:p w:rsidR="002C26A5" w:rsidRDefault="002C26A5">
            <w:pPr>
              <w:pStyle w:val="ConsPlusNormal"/>
              <w:jc w:val="center"/>
            </w:pPr>
            <w:r>
              <w:t>Год пользования участком недр, исчисленный с квартала, следующего за кварталом, в котором сформирована реестровая запись в государственном реестре участков недр, предоставленных в пользование, и лицензий на пользование участками недр, или государственном реестре работ по геологическому изучению недр</w:t>
            </w:r>
          </w:p>
        </w:tc>
        <w:tc>
          <w:tcPr>
            <w:tcW w:w="4235" w:type="dxa"/>
            <w:gridSpan w:val="2"/>
          </w:tcPr>
          <w:p w:rsidR="002C26A5" w:rsidRDefault="002C26A5">
            <w:pPr>
              <w:pStyle w:val="ConsPlusNormal"/>
              <w:jc w:val="center"/>
            </w:pPr>
            <w:r>
              <w:t>Оценка влияния фактора при пользовании недрами в целях</w:t>
            </w:r>
          </w:p>
        </w:tc>
      </w:tr>
      <w:tr w:rsidR="002C26A5">
        <w:tc>
          <w:tcPr>
            <w:tcW w:w="4781" w:type="dxa"/>
            <w:vMerge/>
          </w:tcPr>
          <w:p w:rsidR="002C26A5" w:rsidRDefault="002C26A5">
            <w:pPr>
              <w:pStyle w:val="ConsPlusNormal"/>
            </w:pP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поиска и оценки месторождений полезных ископаемых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разведки полезных ископаемых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0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0,03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0,06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0,11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5-й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0,16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lastRenderedPageBreak/>
              <w:t>6-й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0,21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7-й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0,27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8-й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-</w:t>
            </w:r>
          </w:p>
        </w:tc>
      </w:tr>
      <w:tr w:rsidR="002C26A5">
        <w:tc>
          <w:tcPr>
            <w:tcW w:w="4781" w:type="dxa"/>
          </w:tcPr>
          <w:p w:rsidR="002C26A5" w:rsidRDefault="002C26A5">
            <w:pPr>
              <w:pStyle w:val="ConsPlusNormal"/>
              <w:jc w:val="center"/>
            </w:pPr>
            <w:r>
              <w:t>9-й год</w:t>
            </w:r>
          </w:p>
        </w:tc>
        <w:tc>
          <w:tcPr>
            <w:tcW w:w="2117" w:type="dxa"/>
          </w:tcPr>
          <w:p w:rsidR="002C26A5" w:rsidRDefault="002C26A5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2118" w:type="dxa"/>
          </w:tcPr>
          <w:p w:rsidR="002C26A5" w:rsidRDefault="002C26A5">
            <w:pPr>
              <w:pStyle w:val="ConsPlusNormal"/>
              <w:jc w:val="center"/>
            </w:pPr>
            <w:r>
              <w:t>-</w:t>
            </w:r>
          </w:p>
        </w:tc>
      </w:tr>
    </w:tbl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jc w:val="both"/>
      </w:pPr>
    </w:p>
    <w:p w:rsidR="002C26A5" w:rsidRDefault="002C2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DE" w:rsidRDefault="001D22DE"/>
    <w:sectPr w:rsidR="001D22DE" w:rsidSect="002C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A5"/>
    <w:rsid w:val="001D22DE"/>
    <w:rsid w:val="00210762"/>
    <w:rsid w:val="002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8DF10-AB52-40F5-B1BD-D357B2D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3067</Words>
  <Characters>17484</Characters>
  <Application>Microsoft Office Word</Application>
  <DocSecurity>0</DocSecurity>
  <Lines>145</Lines>
  <Paragraphs>41</Paragraphs>
  <ScaleCrop>false</ScaleCrop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2024-07-16T12:51:00Z</dcterms:created>
  <dcterms:modified xsi:type="dcterms:W3CDTF">2024-07-16T12:52:00Z</dcterms:modified>
</cp:coreProperties>
</file>