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0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1110"/>
        <w:gridCol w:w="971"/>
        <w:gridCol w:w="952"/>
        <w:gridCol w:w="976"/>
        <w:gridCol w:w="986"/>
        <w:gridCol w:w="974"/>
        <w:gridCol w:w="986"/>
        <w:gridCol w:w="1097"/>
        <w:gridCol w:w="1064"/>
        <w:gridCol w:w="1222"/>
        <w:gridCol w:w="973"/>
        <w:gridCol w:w="937"/>
        <w:gridCol w:w="1090"/>
        <w:gridCol w:w="1068"/>
        <w:gridCol w:w="865"/>
        <w:tblGridChange w:id="0">
          <w:tblGrid>
            <w:gridCol w:w="762"/>
            <w:gridCol w:w="1110"/>
            <w:gridCol w:w="971"/>
            <w:gridCol w:w="952"/>
            <w:gridCol w:w="976"/>
            <w:gridCol w:w="986"/>
            <w:gridCol w:w="974"/>
            <w:gridCol w:w="986"/>
            <w:gridCol w:w="1097"/>
            <w:gridCol w:w="1064"/>
            <w:gridCol w:w="1222"/>
            <w:gridCol w:w="973"/>
            <w:gridCol w:w="937"/>
            <w:gridCol w:w="1090"/>
            <w:gridCol w:w="1068"/>
            <w:gridCol w:w="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Наимено-вание объекта основных средств или нематери-альных активов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Дата оплаты объекта основных средств или нематери-альных активов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Дата подачи докумен-тов на государ-ственную регистра-цию объектов основных средств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Дата ввода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эксплу-атацию (принятия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 бухгал-терскому учету) объекта основных средств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или немате-риальных активов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Первона-чальная стоимость объекта основных средств или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немате-риальных активов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(руб.)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Срок полезного использо-вания объекта основных средств или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немате-риальных активов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(коли-чество лет)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Остаточ-ная стоимость объекта основных средств или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немате-риальных активов (руб.)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Количество кварталов эксплуата-ции объекта основных средств или немате-риальных активов в налоговом периоде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Доля стоимости объекта основных средств или немате-риальных активов, прини-маемая в расходы за налоговый период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(%)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Доля стоимости объекта основных средств или немате-риальных активов, принимаемая 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расходы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 каждый квартал налогового периода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(%)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(гр. 10 / гр. 9)</w:t>
            </w:r>
          </w:p>
        </w:tc>
        <w:tc>
          <w:tcPr>
            <w:gridSpan w:val="2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Сумма расходов, учитываемая при исчислении налоговой базы (руб.) в т. ч.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Включено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расходы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 преды-дущие налоговые периоды применения упрощенной системы налогооб-ложения (руб.)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(гр. 13 Расчета за предыдущие налоговые периоды)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Оставшаяся часть расходов, подлежащая списанию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после-дующих налоговых периодах (руб.)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(гр. 8 -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гр. 13 -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гр. 14)</w:t>
            </w:r>
          </w:p>
        </w:tc>
        <w:tc>
          <w:tcPr>
            <w:vMerge w:val="restart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Дата выбытия (реали-зации) объекта основных средств или немате-риальных активов</w:t>
            </w:r>
          </w:p>
        </w:tc>
      </w:tr>
      <w:tr>
        <w:trPr>
          <w:cantSplit w:val="0"/>
          <w:trHeight w:val="1762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 каждый квартал налогового периода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(гр. 6 или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гр. 8 х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гр. 11 / 100)</w:t>
            </w:r>
          </w:p>
        </w:tc>
        <w:tc>
          <w:tcPr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 налоговый период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(гр. 12 х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гр. 9)</w:t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tcMar>
              <w:left w:w="57.0" w:type="dxa"/>
              <w:right w:w="57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Швейная машина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5D">
            <w:pPr>
              <w:ind w:right="-95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11.01.2023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5F">
            <w:pPr>
              <w:ind w:left="-72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11.01.2023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100000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25000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Всего за отчет-ный (налоговый) период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25000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7B">
      <w:pPr>
        <w:ind w:hanging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Пример заполнения раздела II. Расходы на основные средства и нематериальные активы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701" w:left="426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F1624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F16242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F16242"/>
  </w:style>
  <w:style w:type="paragraph" w:styleId="a6">
    <w:name w:val="footer"/>
    <w:basedOn w:val="a"/>
    <w:link w:val="a7"/>
    <w:uiPriority w:val="99"/>
    <w:unhideWhenUsed w:val="1"/>
    <w:rsid w:val="00F1624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F1624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7V2X6A6/inYrtauMw+d4SzACfg==">CgMxLjAyCGguZ2pkZ3hzOAByITE0dnpzSTl4cDV0TFBQUU9raF9ZZ2ZqYmU0LUhaRFBNQQ==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2020-03-16T12:17:00Z</dcterms:created>
  <dc:creator>Иванова Мария Алексеевна</dc:creator>
</cp:coreProperties>
</file>